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DBJ25420100484244055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武汉东湖新技术开发区韩嘉山餐饮店的碟子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2025年8月12日抽自武汉东湖新技术开发区韩嘉山餐饮店的碟子，经抽样检验，阴离子合成洗涤剂(以十二烷基苯磺酸钠计)项目不符合GB 14934-2016《食品安全 国家标准消毒餐(饮)具》要求，检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对餐具清洗消毒不合格的行为,违反了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等相关证明文件。经查主要原因是员工操作不规范。针对以上原因，该单位已制定整改措施：一是组织员工开展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的学习；二是加强员工对清洗消毒流程的培训，清洗消毒后的餐具存放消毒柜，避免二次污染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2025-11-28T07:22:11Z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